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B7DB">
      <w:pPr>
        <w:spacing w:beforeLines="50" w:afterLines="50" w:line="360" w:lineRule="auto"/>
        <w:ind w:firstLine="354" w:firstLineChars="98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年维保费用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报价表</w:t>
      </w:r>
    </w:p>
    <w:p w14:paraId="34097A4F">
      <w:pPr>
        <w:snapToGrid w:val="0"/>
        <w:spacing w:line="360" w:lineRule="auto"/>
        <w:jc w:val="left"/>
        <w:rPr>
          <w:rFonts w:hint="default" w:ascii="宋体" w:hAnsi="宋体"/>
          <w:b/>
          <w:kern w:val="0"/>
          <w:sz w:val="24"/>
          <w:szCs w:val="28"/>
          <w:u w:val="single"/>
          <w:lang w:val="en-US" w:eastAsia="zh-CN"/>
        </w:rPr>
      </w:pPr>
      <w:r>
        <w:rPr>
          <w:rFonts w:hint="eastAsia" w:ascii="宋体" w:hAnsi="宋体"/>
          <w:b/>
          <w:sz w:val="24"/>
          <w:szCs w:val="28"/>
        </w:rPr>
        <w:t>项目名称：</w:t>
      </w:r>
      <w:r>
        <w:rPr>
          <w:rFonts w:hint="eastAsia" w:ascii="宋体" w:hAnsi="宋体"/>
          <w:b/>
          <w:kern w:val="0"/>
          <w:sz w:val="24"/>
          <w:szCs w:val="28"/>
          <w:u w:val="single"/>
        </w:rPr>
        <w:t>安徽组织干部学院（安徽干部网络学院）直饮净水机</w:t>
      </w:r>
      <w:r>
        <w:rPr>
          <w:rFonts w:hint="eastAsia" w:ascii="宋体" w:hAnsi="宋体"/>
          <w:b/>
          <w:kern w:val="0"/>
          <w:sz w:val="24"/>
          <w:szCs w:val="28"/>
          <w:u w:val="single"/>
          <w:lang w:val="en-US" w:eastAsia="zh-CN"/>
        </w:rPr>
        <w:t>定点</w:t>
      </w:r>
      <w:r>
        <w:rPr>
          <w:rFonts w:hint="eastAsia" w:ascii="宋体" w:hAnsi="宋体"/>
          <w:b/>
          <w:kern w:val="0"/>
          <w:sz w:val="24"/>
          <w:szCs w:val="28"/>
          <w:u w:val="single"/>
        </w:rPr>
        <w:t>维保项目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9"/>
        <w:gridCol w:w="6527"/>
      </w:tblGrid>
      <w:tr w14:paraId="0959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352" w:type="pct"/>
            <w:tcBorders>
              <w:top w:val="single" w:color="auto" w:sz="4" w:space="0"/>
            </w:tcBorders>
            <w:vAlign w:val="center"/>
          </w:tcPr>
          <w:p w14:paraId="579E6CC3">
            <w:pPr>
              <w:spacing w:line="360" w:lineRule="exact"/>
              <w:jc w:val="center"/>
              <w:rPr>
                <w:rFonts w:ascii="宋体" w:hAnsi="宋体" w:eastAsia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highlight w:val="none"/>
                <w:lang w:val="en-US" w:eastAsia="zh-CN"/>
              </w:rPr>
              <w:t>报价单位</w:t>
            </w:r>
            <w:r>
              <w:rPr>
                <w:rFonts w:hint="eastAsia" w:ascii="宋体" w:hAnsi="宋体" w:eastAsia="宋体"/>
                <w:b/>
                <w:color w:val="auto"/>
                <w:sz w:val="24"/>
                <w:highlight w:val="none"/>
              </w:rPr>
              <w:t>全称</w:t>
            </w:r>
          </w:p>
        </w:tc>
        <w:tc>
          <w:tcPr>
            <w:tcW w:w="3647" w:type="pct"/>
            <w:tcBorders>
              <w:top w:val="single" w:color="auto" w:sz="4" w:space="0"/>
            </w:tcBorders>
            <w:vAlign w:val="center"/>
          </w:tcPr>
          <w:p w14:paraId="0D8DDAEE">
            <w:pPr>
              <w:spacing w:line="360" w:lineRule="auto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5499A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352" w:type="pct"/>
            <w:tcBorders>
              <w:top w:val="nil"/>
            </w:tcBorders>
            <w:vAlign w:val="center"/>
          </w:tcPr>
          <w:p w14:paraId="372D8A79">
            <w:pPr>
              <w:spacing w:line="360" w:lineRule="exact"/>
              <w:jc w:val="center"/>
              <w:rPr>
                <w:rFonts w:ascii="宋体" w:hAnsi="宋体" w:eastAsia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highlight w:val="none"/>
                <w:lang w:val="en-US" w:eastAsia="zh-CN"/>
              </w:rPr>
              <w:t>响应</w:t>
            </w:r>
            <w:r>
              <w:rPr>
                <w:rFonts w:hint="eastAsia" w:ascii="宋体" w:hAnsi="宋体" w:eastAsia="宋体"/>
                <w:b/>
                <w:color w:val="auto"/>
                <w:sz w:val="24"/>
                <w:highlight w:val="none"/>
              </w:rPr>
              <w:t>范围</w:t>
            </w:r>
          </w:p>
        </w:tc>
        <w:tc>
          <w:tcPr>
            <w:tcW w:w="3647" w:type="pct"/>
            <w:tcBorders>
              <w:top w:val="nil"/>
            </w:tcBorders>
            <w:vAlign w:val="center"/>
          </w:tcPr>
          <w:p w14:paraId="321E4FDC">
            <w:pPr>
              <w:widowControl/>
              <w:spacing w:line="360" w:lineRule="exact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完全响应此项目维保服务要求。</w:t>
            </w:r>
          </w:p>
        </w:tc>
      </w:tr>
      <w:tr w14:paraId="2B01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352" w:type="pct"/>
            <w:tcBorders>
              <w:top w:val="nil"/>
            </w:tcBorders>
            <w:vAlign w:val="center"/>
          </w:tcPr>
          <w:p w14:paraId="07A8F339">
            <w:pPr>
              <w:spacing w:line="360" w:lineRule="exact"/>
              <w:jc w:val="center"/>
              <w:rPr>
                <w:rFonts w:ascii="宋体" w:hAnsi="宋体" w:eastAsia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highlight w:val="none"/>
                <w:lang w:val="en-US" w:eastAsia="zh-CN"/>
              </w:rPr>
              <w:t>响应</w:t>
            </w:r>
            <w:r>
              <w:rPr>
                <w:rFonts w:hint="eastAsia" w:ascii="宋体" w:hAnsi="宋体" w:eastAsia="宋体"/>
                <w:b/>
                <w:color w:val="auto"/>
                <w:sz w:val="24"/>
                <w:highlight w:val="none"/>
              </w:rPr>
              <w:t>报价</w:t>
            </w:r>
          </w:p>
        </w:tc>
        <w:tc>
          <w:tcPr>
            <w:tcW w:w="3647" w:type="pct"/>
            <w:tcBorders>
              <w:top w:val="nil"/>
            </w:tcBorders>
            <w:vAlign w:val="center"/>
          </w:tcPr>
          <w:p w14:paraId="7A4D7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8"/>
                <w:highlight w:val="none"/>
              </w:rPr>
              <w:t>人民币大写：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</w:t>
            </w:r>
          </w:p>
          <w:p w14:paraId="2E7A2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right="-670"/>
              <w:textAlignment w:val="auto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人民币小写：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</w:t>
            </w:r>
          </w:p>
        </w:tc>
      </w:tr>
      <w:tr w14:paraId="1890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1352" w:type="pct"/>
            <w:tcBorders>
              <w:top w:val="nil"/>
            </w:tcBorders>
            <w:vAlign w:val="center"/>
          </w:tcPr>
          <w:p w14:paraId="1523991D">
            <w:pPr>
              <w:spacing w:line="360" w:lineRule="auto"/>
              <w:jc w:val="center"/>
              <w:rPr>
                <w:rFonts w:ascii="宋体" w:hAnsi="宋体" w:eastAsia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highlight w:val="none"/>
              </w:rPr>
              <w:t>其他</w:t>
            </w:r>
          </w:p>
        </w:tc>
        <w:tc>
          <w:tcPr>
            <w:tcW w:w="3647" w:type="pct"/>
            <w:tcBorders>
              <w:top w:val="nil"/>
            </w:tcBorders>
            <w:vAlign w:val="center"/>
          </w:tcPr>
          <w:p w14:paraId="344C10BC">
            <w:pPr>
              <w:spacing w:line="360" w:lineRule="auto"/>
              <w:jc w:val="left"/>
              <w:rPr>
                <w:rFonts w:ascii="宋体" w:hAnsi="宋体" w:eastAsia="宋体"/>
                <w:color w:val="auto"/>
                <w:sz w:val="24"/>
                <w:szCs w:val="28"/>
                <w:highlight w:val="none"/>
              </w:rPr>
            </w:pPr>
          </w:p>
        </w:tc>
      </w:tr>
    </w:tbl>
    <w:p w14:paraId="11FF6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default" w:ascii="宋体" w:hAnsi="宋体" w:eastAsia="宋体"/>
          <w:color w:val="auto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szCs w:val="28"/>
          <w:highlight w:val="none"/>
          <w:lang w:val="en-US" w:eastAsia="zh-CN"/>
        </w:rPr>
        <w:t>报价单位</w:t>
      </w:r>
      <w:r>
        <w:rPr>
          <w:rFonts w:hint="eastAsia" w:ascii="宋体" w:hAnsi="宋体" w:eastAsia="宋体"/>
          <w:color w:val="auto"/>
          <w:sz w:val="24"/>
          <w:szCs w:val="28"/>
          <w:highlight w:val="none"/>
        </w:rPr>
        <w:t>签章：</w:t>
      </w:r>
      <w:r>
        <w:rPr>
          <w:rFonts w:hint="eastAsia" w:ascii="宋体" w:hAnsi="宋体" w:eastAsia="宋体"/>
          <w:color w:val="auto"/>
          <w:sz w:val="24"/>
          <w:szCs w:val="28"/>
          <w:highlight w:val="none"/>
          <w:lang w:val="en-US" w:eastAsia="zh-CN"/>
        </w:rPr>
        <w:t xml:space="preserve">             </w:t>
      </w:r>
    </w:p>
    <w:p w14:paraId="6C3C8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default" w:ascii="宋体" w:hAnsi="宋体" w:eastAsia="宋体"/>
          <w:color w:val="auto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szCs w:val="28"/>
          <w:highlight w:val="none"/>
          <w:lang w:val="en-US" w:eastAsia="zh-CN"/>
        </w:rPr>
        <w:t xml:space="preserve">联系人及电话：             </w:t>
      </w:r>
    </w:p>
    <w:p w14:paraId="70081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default" w:ascii="宋体" w:hAnsi="宋体" w:eastAsia="宋体"/>
          <w:color w:val="auto"/>
          <w:sz w:val="24"/>
          <w:szCs w:val="28"/>
          <w:highlight w:val="none"/>
          <w:lang w:val="en-US"/>
        </w:rPr>
      </w:pPr>
      <w:r>
        <w:rPr>
          <w:rFonts w:hint="eastAsia" w:ascii="宋体" w:hAnsi="宋体" w:eastAsia="宋体"/>
          <w:color w:val="auto"/>
          <w:sz w:val="24"/>
          <w:szCs w:val="28"/>
          <w:highlight w:val="none"/>
          <w:lang w:val="en-US" w:eastAsia="zh-CN"/>
        </w:rPr>
        <w:t xml:space="preserve">日期：             </w:t>
      </w:r>
    </w:p>
    <w:p w14:paraId="3CE6C24B">
      <w:pPr>
        <w:spacing w:line="360" w:lineRule="auto"/>
        <w:ind w:firstLine="360" w:firstLineChars="150"/>
        <w:rPr>
          <w:rFonts w:ascii="宋体" w:hAnsi="宋体" w:eastAsia="宋体"/>
          <w:color w:val="auto"/>
          <w:sz w:val="24"/>
          <w:highlight w:val="none"/>
        </w:rPr>
      </w:pPr>
    </w:p>
    <w:p w14:paraId="69381CCD">
      <w:pPr>
        <w:spacing w:line="360" w:lineRule="auto"/>
        <w:rPr>
          <w:rFonts w:ascii="宋体" w:hAnsi="宋体" w:eastAsia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/>
          <w:b/>
          <w:color w:val="auto"/>
          <w:sz w:val="24"/>
          <w:highlight w:val="none"/>
        </w:rPr>
        <w:t>注：</w:t>
      </w:r>
    </w:p>
    <w:p w14:paraId="6D0F1DC0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highlight w:val="none"/>
          <w:lang w:val="en-US" w:eastAsia="zh-CN"/>
        </w:rPr>
        <w:t>1.以上维保服务报价应包含全年常规维保耗材费、水质检测费、上门费、人工费、设备调试安装费、设备维修费、各种税费等。如有漏项或缺项，报价单位承担全部责任。</w:t>
      </w:r>
    </w:p>
    <w:p w14:paraId="55BEB31A">
      <w:pPr>
        <w:spacing w:line="360" w:lineRule="auto"/>
        <w:ind w:firstLine="480" w:firstLineChars="200"/>
        <w:rPr>
          <w:rFonts w:hint="eastAsia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.表中大写金额与小写金额不一致的，以大写金额为准。</w:t>
      </w:r>
    </w:p>
    <w:p w14:paraId="7A6CA330"/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0C844">
    <w:pPr>
      <w:pStyle w:val="4"/>
      <w:framePr w:wrap="around" w:vAnchor="text" w:hAnchor="page" w:x="5900" w:y="107"/>
      <w:jc w:val="both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196EDDED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FF1E6">
    <w:pPr>
      <w:pStyle w:val="4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3C68DC3B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32FB9"/>
    <w:rsid w:val="6363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autoSpaceDE w:val="0"/>
      <w:autoSpaceDN w:val="0"/>
      <w:adjustRightInd w:val="0"/>
      <w:spacing w:line="360" w:lineRule="auto"/>
      <w:ind w:right="-24" w:rightChars="-10" w:firstLine="425" w:firstLineChars="225"/>
    </w:pPr>
    <w:rPr>
      <w:rFonts w:ascii="Arial" w:hAnsi="Arial" w:eastAsia="仿宋_GB2312" w:cs="Arial"/>
      <w:kern w:val="0"/>
      <w:sz w:val="24"/>
      <w:szCs w:val="32"/>
    </w:rPr>
  </w:style>
  <w:style w:type="paragraph" w:styleId="3">
    <w:name w:val="Body Text"/>
    <w:basedOn w:val="1"/>
    <w:qFormat/>
    <w:uiPriority w:val="0"/>
    <w:pPr>
      <w:spacing w:after="120"/>
    </w:pPr>
    <w:rPr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2026-08-24T01:56:00Z</dcterms:created>
  <dc:creator>佳佳</dc:creator>
  <cp:lastModifiedBy>佳佳</cp:lastModifiedBy>
  <dcterms:modified xsi:type="dcterms:W3CDTF">2026-08-24T01:56:39Z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740707046B0048888CD9FE8BE432B683_11</vt:lpwstr>
  </property>
  <property fmtid="{D5CDD505-2E9C-101B-9397-08002B2CF9AE}" pid="4" name="KSOTemplateDocerSaveRecord">
    <vt:lpwstr>eyJoZGlkIjoiNjgxNGZkOGQ5YzY3NWRlYzcxNDY1OTEyZWE2NGMzODQiLCJ1c2VySWQiOiIxMDI2NTQyOTA3In0=</vt:lpwstr>
  </property>
</Properties>
</file>